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673A" w14:textId="77777777" w:rsidR="006B1E0C" w:rsidRDefault="00040A9F">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14:paraId="1103673B" w14:textId="77777777" w:rsidR="006B1E0C" w:rsidRDefault="00040A9F">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Part A – Fixed Fee Pricing</w:t>
      </w:r>
    </w:p>
    <w:p w14:paraId="1103673C" w14:textId="77777777" w:rsidR="006B1E0C" w:rsidRDefault="006B1E0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1103673D" w14:textId="77777777" w:rsidR="006B1E0C" w:rsidRDefault="00040A9F">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14:paraId="1103673E" w14:textId="77777777" w:rsidR="006B1E0C" w:rsidRDefault="00040A9F" w:rsidP="00FA765E">
      <w:pPr>
        <w:keepNext/>
        <w:numPr>
          <w:ilvl w:val="0"/>
          <w:numId w:val="1"/>
        </w:numPr>
        <w:pBdr>
          <w:top w:val="nil"/>
          <w:left w:val="nil"/>
          <w:bottom w:val="nil"/>
          <w:right w:val="nil"/>
          <w:between w:val="nil"/>
        </w:pBdr>
        <w:tabs>
          <w:tab w:val="left" w:pos="567"/>
        </w:tabs>
        <w:spacing w:line="240" w:lineRule="auto"/>
        <w:ind w:left="567" w:hangingChars="237" w:hanging="569"/>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Calculation Of The Charges</w:t>
      </w:r>
    </w:p>
    <w:p w14:paraId="1103673F" w14:textId="77777777" w:rsidR="006B1E0C" w:rsidRDefault="00040A9F" w:rsidP="00FA765E">
      <w:pPr>
        <w:numPr>
          <w:ilvl w:val="1"/>
          <w:numId w:val="1"/>
        </w:numPr>
        <w:pBdr>
          <w:top w:val="nil"/>
          <w:left w:val="nil"/>
          <w:bottom w:val="nil"/>
          <w:right w:val="nil"/>
          <w:between w:val="nil"/>
        </w:pBdr>
        <w:tabs>
          <w:tab w:val="left" w:pos="567"/>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11036740" w14:textId="77777777" w:rsidR="006B1E0C" w:rsidRDefault="00040A9F" w:rsidP="00FA765E">
      <w:pPr>
        <w:numPr>
          <w:ilvl w:val="2"/>
          <w:numId w:val="1"/>
        </w:numPr>
        <w:pBdr>
          <w:top w:val="nil"/>
          <w:left w:val="nil"/>
          <w:bottom w:val="nil"/>
          <w:right w:val="nil"/>
          <w:between w:val="nil"/>
        </w:pBdr>
        <w:shd w:val="clear" w:color="auto" w:fill="FFFFFF"/>
        <w:spacing w:line="240" w:lineRule="auto"/>
        <w:ind w:leftChars="256" w:left="1132" w:hangingChars="237" w:hanging="569"/>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14:paraId="11036741" w14:textId="77777777" w:rsidR="006B1E0C" w:rsidRDefault="00040A9F" w:rsidP="00FA765E">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14:paraId="11036742" w14:textId="77777777" w:rsidR="006B1E0C" w:rsidRDefault="00040A9F" w:rsidP="00FA765E">
      <w:pPr>
        <w:numPr>
          <w:ilvl w:val="2"/>
          <w:numId w:val="1"/>
        </w:numPr>
        <w:pBdr>
          <w:top w:val="nil"/>
          <w:left w:val="nil"/>
          <w:bottom w:val="nil"/>
          <w:right w:val="nil"/>
          <w:between w:val="nil"/>
        </w:pBdr>
        <w:spacing w:line="240" w:lineRule="auto"/>
        <w:ind w:leftChars="258" w:left="1132" w:hangingChars="235" w:hanging="564"/>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11036743" w14:textId="77777777" w:rsidR="006B1E0C" w:rsidRDefault="00040A9F" w:rsidP="00FA765E">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(MPn), in respect of a Service Month “n” shall be calculated in accordance with the following formula:</w:t>
      </w:r>
    </w:p>
    <w:p w14:paraId="11036744" w14:textId="77777777" w:rsidR="006B1E0C" w:rsidRDefault="00F96A86">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11036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7.55pt;visibility:visible">
            <v:imagedata r:id="rId11" o:title=""/>
            <v:path o:extrusionok="t"/>
          </v:shape>
        </w:pict>
      </w:r>
    </w:p>
    <w:p w14:paraId="11036745"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2"/>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6B1E0C" w14:paraId="11036748" w14:textId="77777777">
        <w:tc>
          <w:tcPr>
            <w:tcW w:w="1134" w:type="dxa"/>
            <w:tcBorders>
              <w:top w:val="single" w:sz="4" w:space="0" w:color="000000"/>
              <w:left w:val="single" w:sz="4" w:space="0" w:color="000000"/>
            </w:tcBorders>
          </w:tcPr>
          <w:p w14:paraId="11036746"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MP</w:t>
            </w:r>
            <w:r>
              <w:rPr>
                <w:rFonts w:ascii="Arial" w:eastAsia="Arial" w:hAnsi="Arial" w:cs="Arial"/>
                <w:color w:val="000000"/>
                <w:sz w:val="24"/>
                <w:szCs w:val="24"/>
                <w:vertAlign w:val="subscript"/>
              </w:rPr>
              <w:t>n</w:t>
            </w:r>
          </w:p>
        </w:tc>
        <w:tc>
          <w:tcPr>
            <w:tcW w:w="6939" w:type="dxa"/>
            <w:tcBorders>
              <w:top w:val="single" w:sz="4" w:space="0" w:color="000000"/>
              <w:right w:val="single" w:sz="4" w:space="0" w:color="000000"/>
            </w:tcBorders>
          </w:tcPr>
          <w:p w14:paraId="11036747"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6B1E0C" w14:paraId="1103674B" w14:textId="77777777">
        <w:tc>
          <w:tcPr>
            <w:tcW w:w="1134" w:type="dxa"/>
            <w:tcBorders>
              <w:left w:val="single" w:sz="4" w:space="0" w:color="000000"/>
            </w:tcBorders>
          </w:tcPr>
          <w:p w14:paraId="11036749"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BMP</w:t>
            </w:r>
            <w:r>
              <w:rPr>
                <w:rFonts w:ascii="Arial" w:eastAsia="Arial" w:hAnsi="Arial" w:cs="Arial"/>
                <w:color w:val="000000"/>
                <w:sz w:val="24"/>
                <w:szCs w:val="24"/>
                <w:vertAlign w:val="subscript"/>
              </w:rPr>
              <w:t>n</w:t>
            </w:r>
          </w:p>
        </w:tc>
        <w:tc>
          <w:tcPr>
            <w:tcW w:w="6939" w:type="dxa"/>
            <w:tcBorders>
              <w:right w:val="single" w:sz="4" w:space="0" w:color="000000"/>
            </w:tcBorders>
          </w:tcPr>
          <w:p w14:paraId="1103674A"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6B1E0C" w14:paraId="1103674E" w14:textId="77777777">
        <w:tc>
          <w:tcPr>
            <w:tcW w:w="1134" w:type="dxa"/>
            <w:tcBorders>
              <w:left w:val="single" w:sz="4" w:space="0" w:color="000000"/>
            </w:tcBorders>
          </w:tcPr>
          <w:p w14:paraId="1103674C"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1103674D"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PassThrough Costs due in respect of the Previous Service Month which is calculated in accordance with paragraph 3 below; </w:t>
            </w:r>
          </w:p>
        </w:tc>
      </w:tr>
      <w:tr w:rsidR="006B1E0C" w14:paraId="11036751" w14:textId="77777777">
        <w:tc>
          <w:tcPr>
            <w:tcW w:w="1134" w:type="dxa"/>
            <w:tcBorders>
              <w:left w:val="single" w:sz="4" w:space="0" w:color="000000"/>
              <w:bottom w:val="single" w:sz="4" w:space="0" w:color="000000"/>
            </w:tcBorders>
          </w:tcPr>
          <w:p w14:paraId="1103674F"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11036750"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6B1E0C" w14:paraId="11036755" w14:textId="77777777">
        <w:trPr>
          <w:trHeight w:val="567"/>
        </w:trPr>
        <w:tc>
          <w:tcPr>
            <w:tcW w:w="1134" w:type="dxa"/>
            <w:tcBorders>
              <w:top w:val="single" w:sz="4" w:space="0" w:color="000000"/>
              <w:left w:val="single" w:sz="4" w:space="0" w:color="000000"/>
            </w:tcBorders>
          </w:tcPr>
          <w:p w14:paraId="11036752"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11036753" w14:textId="77777777" w:rsidR="006B1E0C" w:rsidRDefault="006B1E0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11036754"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6B1E0C" w14:paraId="11036759" w14:textId="77777777">
        <w:tc>
          <w:tcPr>
            <w:tcW w:w="1134" w:type="dxa"/>
            <w:tcBorders>
              <w:top w:val="single" w:sz="4" w:space="0" w:color="000000"/>
              <w:left w:val="single" w:sz="4" w:space="0" w:color="000000"/>
              <w:bottom w:val="single" w:sz="4" w:space="0" w:color="000000"/>
            </w:tcBorders>
          </w:tcPr>
          <w:p w14:paraId="11036756" w14:textId="77777777" w:rsidR="006B1E0C" w:rsidRDefault="00040A9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11036757" w14:textId="77777777" w:rsidR="006B1E0C" w:rsidRDefault="00040A9F">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11036758" w14:textId="77777777" w:rsidR="006B1E0C" w:rsidRDefault="006B1E0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103675A"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14:paraId="1103675B" w14:textId="77777777" w:rsidR="006B1E0C" w:rsidRDefault="00F96A86" w:rsidP="00FC09AF">
      <w:pPr>
        <w:pBdr>
          <w:top w:val="nil"/>
          <w:left w:val="nil"/>
          <w:bottom w:val="nil"/>
          <w:right w:val="nil"/>
          <w:between w:val="nil"/>
        </w:pBdr>
        <w:spacing w:after="200" w:line="240" w:lineRule="auto"/>
        <w:ind w:left="567" w:hangingChars="237" w:hanging="569"/>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w14:anchorId="1103679B">
          <v:shape id="_x0000_i1026" type="#_x0000_t75" style="width:248.55pt;height:15.65pt;visibility:visible">
            <v:imagedata r:id="rId12" o:title=""/>
            <v:path o:extrusionok="t"/>
          </v:shape>
        </w:pict>
      </w:r>
    </w:p>
    <w:p w14:paraId="1103675C"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1103675D"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1103675E"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Pass Through Costs incurred within the final Service Month; </w:t>
      </w:r>
    </w:p>
    <w:p w14:paraId="1103675F"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11036760"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11036761"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11036762" w14:textId="77777777" w:rsidR="006B1E0C" w:rsidRDefault="00040A9F" w:rsidP="00FC09AF">
      <w:pPr>
        <w:pBdr>
          <w:top w:val="nil"/>
          <w:left w:val="nil"/>
          <w:bottom w:val="nil"/>
          <w:right w:val="nil"/>
          <w:between w:val="nil"/>
        </w:pBdr>
        <w:spacing w:line="240" w:lineRule="auto"/>
        <w:ind w:leftChars="256" w:left="565"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103676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11036764"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1103676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103676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1036767"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11036768"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only those types of Pass Through Costs set out in the Order Form shall be recoverable;</w:t>
      </w:r>
    </w:p>
    <w:p w14:paraId="11036769" w14:textId="77777777" w:rsidR="006B1E0C" w:rsidRDefault="00040A9F" w:rsidP="00FC09AF">
      <w:pPr>
        <w:numPr>
          <w:ilvl w:val="2"/>
          <w:numId w:val="1"/>
        </w:numPr>
        <w:pBdr>
          <w:top w:val="nil"/>
          <w:left w:val="nil"/>
          <w:bottom w:val="nil"/>
          <w:right w:val="nil"/>
          <w:between w:val="nil"/>
        </w:pBdr>
        <w:spacing w:line="240" w:lineRule="auto"/>
        <w:ind w:leftChars="257" w:left="1129" w:hangingChars="235" w:hanging="564"/>
        <w:rPr>
          <w:rFonts w:ascii="Arial" w:eastAsia="Arial" w:hAnsi="Arial" w:cs="Arial"/>
          <w:color w:val="000000"/>
          <w:sz w:val="24"/>
          <w:szCs w:val="24"/>
        </w:rPr>
      </w:pPr>
      <w:r>
        <w:rPr>
          <w:rFonts w:ascii="Arial" w:eastAsia="Arial" w:hAnsi="Arial" w:cs="Arial"/>
          <w:color w:val="000000"/>
          <w:sz w:val="24"/>
          <w:szCs w:val="24"/>
        </w:rPr>
        <w:t xml:space="preserve">the Pass Through Costs shall only be recoverable where they are incurred in accordance with the guidelines that the Buyer may issue to the Supplier from time to time; </w:t>
      </w:r>
    </w:p>
    <w:p w14:paraId="1103676A"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1103676B"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14:paraId="1103676C"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1103676D"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1103676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103676F"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11036770"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11036771"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11036772"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1103677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1036774"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1103677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1103677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Pricing For Variations</w:t>
      </w:r>
    </w:p>
    <w:p w14:paraId="11036777"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14:paraId="11036778"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11036779" w14:textId="10FE916F" w:rsidR="006B1E0C" w:rsidRPr="001B327C" w:rsidRDefault="00040A9F" w:rsidP="001B327C">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w:t>
      </w:r>
      <w:r w:rsidR="00B95F0F">
        <w:rPr>
          <w:rFonts w:ascii="Arial" w:eastAsia="Arial" w:hAnsi="Arial" w:cs="Arial"/>
          <w:color w:val="000000"/>
          <w:sz w:val="24"/>
          <w:szCs w:val="24"/>
        </w:rPr>
        <w:t xml:space="preserve">during the </w:t>
      </w:r>
      <w:r w:rsidR="001B327C">
        <w:rPr>
          <w:rFonts w:ascii="Arial" w:eastAsia="Arial" w:hAnsi="Arial" w:cs="Arial"/>
          <w:color w:val="000000"/>
          <w:sz w:val="24"/>
          <w:szCs w:val="24"/>
        </w:rPr>
        <w:t xml:space="preserve">Call-Off Contract </w:t>
      </w:r>
      <w:r w:rsidR="00B95F0F">
        <w:rPr>
          <w:rFonts w:ascii="Arial" w:eastAsia="Arial" w:hAnsi="Arial" w:cs="Arial"/>
          <w:color w:val="000000"/>
          <w:sz w:val="24"/>
          <w:szCs w:val="24"/>
        </w:rPr>
        <w:t>Mobilisation Period and/or</w:t>
      </w:r>
      <w:r w:rsidR="00B95F0F" w:rsidRPr="001B327C">
        <w:rPr>
          <w:rFonts w:ascii="Arial" w:eastAsia="Arial" w:hAnsi="Arial" w:cs="Arial"/>
          <w:color w:val="000000"/>
          <w:sz w:val="24"/>
          <w:szCs w:val="24"/>
        </w:rPr>
        <w:t xml:space="preserve"> </w:t>
      </w:r>
      <w:r w:rsidR="001B327C">
        <w:rPr>
          <w:rFonts w:ascii="Arial" w:eastAsia="Arial" w:hAnsi="Arial" w:cs="Arial"/>
          <w:color w:val="000000"/>
          <w:sz w:val="24"/>
          <w:szCs w:val="24"/>
        </w:rPr>
        <w:t xml:space="preserve">during the period of </w:t>
      </w:r>
      <w:r w:rsidR="003D5F83" w:rsidRPr="001B327C">
        <w:rPr>
          <w:rFonts w:ascii="Arial" w:eastAsia="Arial" w:hAnsi="Arial" w:cs="Arial"/>
          <w:color w:val="000000"/>
          <w:sz w:val="24"/>
          <w:szCs w:val="24"/>
        </w:rPr>
        <w:t xml:space="preserve">up to twelve (12) months following the end of the </w:t>
      </w:r>
      <w:r w:rsidR="001B327C">
        <w:rPr>
          <w:rFonts w:ascii="Arial" w:eastAsia="Arial" w:hAnsi="Arial" w:cs="Arial"/>
          <w:color w:val="000000"/>
          <w:sz w:val="24"/>
          <w:szCs w:val="24"/>
        </w:rPr>
        <w:t xml:space="preserve">Call-Off Contract </w:t>
      </w:r>
      <w:r w:rsidR="003D5F83" w:rsidRPr="001B327C">
        <w:rPr>
          <w:rFonts w:ascii="Arial" w:eastAsia="Arial" w:hAnsi="Arial" w:cs="Arial"/>
          <w:color w:val="000000"/>
          <w:sz w:val="24"/>
          <w:szCs w:val="24"/>
        </w:rPr>
        <w:t>Mobilisation Period</w:t>
      </w:r>
      <w:r w:rsidRPr="001B327C">
        <w:rPr>
          <w:rFonts w:ascii="Arial" w:eastAsia="Arial" w:hAnsi="Arial" w:cs="Arial"/>
          <w:color w:val="000000"/>
          <w:sz w:val="24"/>
          <w:szCs w:val="24"/>
        </w:rPr>
        <w:t xml:space="preserve"> to verify the Due Diligence Information</w:t>
      </w:r>
      <w:r w:rsidRPr="001B327C">
        <w:rPr>
          <w:rFonts w:ascii="Arial" w:eastAsia="Arial" w:hAnsi="Arial" w:cs="Arial"/>
          <w:sz w:val="24"/>
          <w:szCs w:val="24"/>
        </w:rPr>
        <w:t>.</w:t>
      </w:r>
      <w:r w:rsidRPr="001B327C">
        <w:rPr>
          <w:rFonts w:ascii="Arial" w:eastAsia="Arial" w:hAnsi="Arial" w:cs="Arial"/>
          <w:color w:val="000000"/>
          <w:sz w:val="24"/>
          <w:szCs w:val="24"/>
        </w:rPr>
        <w:t xml:space="preserve"> Call-Off Pricing revisions for any </w:t>
      </w:r>
      <w:r w:rsidR="001B327C">
        <w:rPr>
          <w:rFonts w:ascii="Arial" w:eastAsia="Arial" w:hAnsi="Arial" w:cs="Arial"/>
          <w:color w:val="000000"/>
          <w:sz w:val="24"/>
          <w:szCs w:val="24"/>
        </w:rPr>
        <w:t>errors,</w:t>
      </w:r>
      <w:r w:rsidRPr="001B327C">
        <w:rPr>
          <w:rFonts w:ascii="Arial" w:eastAsia="Arial" w:hAnsi="Arial" w:cs="Arial"/>
          <w:color w:val="000000"/>
          <w:sz w:val="24"/>
          <w:szCs w:val="24"/>
        </w:rPr>
        <w:t xml:space="preserve"> inaccuracies </w:t>
      </w:r>
      <w:r w:rsidR="001B327C">
        <w:rPr>
          <w:rFonts w:ascii="Arial" w:eastAsia="Arial" w:hAnsi="Arial" w:cs="Arial"/>
          <w:color w:val="000000"/>
          <w:sz w:val="24"/>
          <w:szCs w:val="24"/>
        </w:rPr>
        <w:t xml:space="preserve">or omissions </w:t>
      </w:r>
      <w:r w:rsidRPr="001B327C">
        <w:rPr>
          <w:rFonts w:ascii="Arial" w:eastAsia="Arial" w:hAnsi="Arial" w:cs="Arial"/>
          <w:color w:val="000000"/>
          <w:sz w:val="24"/>
          <w:szCs w:val="24"/>
        </w:rPr>
        <w:t xml:space="preserve">in the Due Diligence Information identified </w:t>
      </w:r>
      <w:r w:rsidR="00D77C52">
        <w:rPr>
          <w:rFonts w:ascii="Arial" w:eastAsia="Arial" w:hAnsi="Arial" w:cs="Arial"/>
          <w:color w:val="000000"/>
          <w:sz w:val="24"/>
          <w:szCs w:val="24"/>
        </w:rPr>
        <w:t>after the</w:t>
      </w:r>
      <w:r w:rsidRPr="001B327C">
        <w:rPr>
          <w:rFonts w:ascii="Arial" w:eastAsia="Arial" w:hAnsi="Arial" w:cs="Arial"/>
          <w:color w:val="000000"/>
          <w:sz w:val="24"/>
          <w:szCs w:val="24"/>
        </w:rPr>
        <w:t xml:space="preserve"> </w:t>
      </w:r>
      <w:r w:rsidR="00565613" w:rsidRPr="001B327C">
        <w:rPr>
          <w:rFonts w:ascii="Arial" w:eastAsia="Arial" w:hAnsi="Arial" w:cs="Arial"/>
          <w:color w:val="000000"/>
          <w:sz w:val="24"/>
          <w:szCs w:val="24"/>
        </w:rPr>
        <w:t xml:space="preserve">twelve (12) months following </w:t>
      </w:r>
      <w:r w:rsidRPr="001B327C">
        <w:rPr>
          <w:rFonts w:ascii="Arial" w:eastAsia="Arial" w:hAnsi="Arial" w:cs="Arial"/>
          <w:color w:val="000000"/>
          <w:sz w:val="24"/>
          <w:szCs w:val="24"/>
        </w:rPr>
        <w:t>the</w:t>
      </w:r>
      <w:r w:rsidR="00D77C52">
        <w:rPr>
          <w:rFonts w:ascii="Arial" w:eastAsia="Arial" w:hAnsi="Arial" w:cs="Arial"/>
          <w:color w:val="000000"/>
          <w:sz w:val="24"/>
          <w:szCs w:val="24"/>
        </w:rPr>
        <w:t xml:space="preserve"> end of the Call-Off Contract</w:t>
      </w:r>
      <w:r w:rsidRPr="001B327C">
        <w:rPr>
          <w:rFonts w:ascii="Arial" w:eastAsia="Arial" w:hAnsi="Arial" w:cs="Arial"/>
          <w:color w:val="000000"/>
          <w:sz w:val="24"/>
          <w:szCs w:val="24"/>
        </w:rPr>
        <w:t xml:space="preserve"> Mobilisation Period are not permitted.</w:t>
      </w:r>
    </w:p>
    <w:p w14:paraId="1103677A" w14:textId="111E16A9" w:rsidR="006B1E0C" w:rsidRDefault="00040A9F" w:rsidP="0078351A">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w:t>
      </w:r>
      <w:r w:rsidR="00D77C52">
        <w:rPr>
          <w:rFonts w:ascii="Arial" w:eastAsia="Arial" w:hAnsi="Arial" w:cs="Arial"/>
          <w:color w:val="000000"/>
          <w:sz w:val="24"/>
          <w:szCs w:val="24"/>
        </w:rPr>
        <w:t>Call-Off Contract Mobilisation Period and/or</w:t>
      </w:r>
      <w:r w:rsidR="00D77C52" w:rsidRPr="001B327C">
        <w:rPr>
          <w:rFonts w:ascii="Arial" w:eastAsia="Arial" w:hAnsi="Arial" w:cs="Arial"/>
          <w:color w:val="000000"/>
          <w:sz w:val="24"/>
          <w:szCs w:val="24"/>
        </w:rPr>
        <w:t xml:space="preserve"> </w:t>
      </w:r>
      <w:r w:rsidR="00D77C52">
        <w:rPr>
          <w:rFonts w:ascii="Arial" w:eastAsia="Arial" w:hAnsi="Arial" w:cs="Arial"/>
          <w:color w:val="000000"/>
          <w:sz w:val="24"/>
          <w:szCs w:val="24"/>
        </w:rPr>
        <w:t xml:space="preserve">during the period of </w:t>
      </w:r>
      <w:r w:rsidR="00D77C52" w:rsidRPr="001B327C">
        <w:rPr>
          <w:rFonts w:ascii="Arial" w:eastAsia="Arial" w:hAnsi="Arial" w:cs="Arial"/>
          <w:color w:val="000000"/>
          <w:sz w:val="24"/>
          <w:szCs w:val="24"/>
        </w:rPr>
        <w:t xml:space="preserve">up to twelve (12) months following the end of the </w:t>
      </w:r>
      <w:r w:rsidR="00D77C52">
        <w:rPr>
          <w:rFonts w:ascii="Arial" w:eastAsia="Arial" w:hAnsi="Arial" w:cs="Arial"/>
          <w:color w:val="000000"/>
          <w:sz w:val="24"/>
          <w:szCs w:val="24"/>
        </w:rPr>
        <w:t xml:space="preserve">Call-Off Contract </w:t>
      </w:r>
      <w:r w:rsidR="00D77C52" w:rsidRPr="001B327C">
        <w:rPr>
          <w:rFonts w:ascii="Arial" w:eastAsia="Arial" w:hAnsi="Arial" w:cs="Arial"/>
          <w:color w:val="000000"/>
          <w:sz w:val="24"/>
          <w:szCs w:val="24"/>
        </w:rPr>
        <w:t>Mobilisation Period</w:t>
      </w:r>
      <w:r w:rsidR="00CE74EB">
        <w:rPr>
          <w:rFonts w:ascii="Arial" w:eastAsia="Arial" w:hAnsi="Arial" w:cs="Arial"/>
          <w:color w:val="000000"/>
          <w:sz w:val="24"/>
          <w:szCs w:val="24"/>
        </w:rPr>
        <w:t xml:space="preserve"> </w:t>
      </w:r>
      <w:r w:rsidR="008C5E73">
        <w:rPr>
          <w:rFonts w:ascii="Arial" w:eastAsia="Arial" w:hAnsi="Arial" w:cs="Arial"/>
          <w:color w:val="000000"/>
          <w:sz w:val="24"/>
          <w:szCs w:val="24"/>
        </w:rPr>
        <w:t>as per paragraph 6.3 above</w:t>
      </w:r>
      <w:r>
        <w:rPr>
          <w:rFonts w:ascii="Arial" w:eastAsia="Arial" w:hAnsi="Arial" w:cs="Arial"/>
          <w:color w:val="000000"/>
          <w:sz w:val="24"/>
          <w:szCs w:val="24"/>
        </w:rPr>
        <w:t xml:space="preserve">, the following shall apply: </w:t>
      </w:r>
    </w:p>
    <w:p w14:paraId="1103677B" w14:textId="5152344B"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in accordance with the maximum Framework Price unit-of-measure rate (i.e. the capped rate) under Framework Schedule 3,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Standard Service Pricing classification for the Service, which was provided by the Buyer prior to entering into the  Call-Off Contract, was incorrect; </w:t>
      </w:r>
    </w:p>
    <w:p w14:paraId="1103677C" w14:textId="690F7C0D"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103677D" w14:textId="4D9F9621"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lastRenderedPageBreak/>
        <w:t>Where Services where no Framework Contract Pricing unit-of-measure rate applies are ordered under a Call-Off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103677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1103677F" w14:textId="77777777" w:rsidR="006B1E0C" w:rsidRDefault="00040A9F" w:rsidP="0078351A">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14:paraId="11036780"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11036781"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11036782"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11036783"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11036784"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11036785"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11036786"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11036787"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11036788"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11036789"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1103678A"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1103678B"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specifies the Deliverables to which the invoice relates;</w:t>
      </w:r>
    </w:p>
    <w:p w14:paraId="1103678C"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1103678D"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1103678E"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1103678F"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11036790"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14:paraId="11036791" w14:textId="77777777" w:rsidR="006B1E0C" w:rsidRDefault="00040A9F" w:rsidP="003D3E96">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11036792"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Payments Due On Termination</w:t>
      </w:r>
    </w:p>
    <w:p w14:paraId="11036793" w14:textId="77777777" w:rsidR="006B1E0C" w:rsidRDefault="00040A9F" w:rsidP="003D3E96">
      <w:pPr>
        <w:keepNext/>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11036794"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11036795"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11036796"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11036797"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1036798" w14:textId="77777777" w:rsidR="006B1E0C" w:rsidRDefault="00040A9F" w:rsidP="002952A8">
      <w:pPr>
        <w:spacing w:after="0" w:line="240" w:lineRule="auto"/>
        <w:ind w:leftChars="257" w:left="565" w:firstLineChars="0" w:firstLine="0"/>
        <w:jc w:val="left"/>
        <w:rPr>
          <w:rFonts w:ascii="Arial" w:eastAsia="Arial" w:hAnsi="Arial" w:cs="Arial"/>
          <w:color w:val="000000"/>
          <w:sz w:val="24"/>
          <w:szCs w:val="24"/>
        </w:r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11036799" w14:textId="4A5801DF" w:rsidR="006B1E0C" w:rsidRDefault="006B1E0C">
      <w:pPr>
        <w:tabs>
          <w:tab w:val="left" w:pos="756"/>
        </w:tabs>
        <w:ind w:left="0" w:hanging="2"/>
        <w:rPr>
          <w:rFonts w:ascii="Arial" w:eastAsia="Arial" w:hAnsi="Arial" w:cs="Arial"/>
          <w:sz w:val="24"/>
          <w:szCs w:val="24"/>
        </w:rPr>
      </w:pPr>
      <w:bookmarkStart w:id="12" w:name="_heading=h.3rdcrjn" w:colFirst="0" w:colLast="0"/>
      <w:bookmarkEnd w:id="12"/>
    </w:p>
    <w:p w14:paraId="2D4CB5DC" w14:textId="0C9DDDE8" w:rsidR="00F45E45" w:rsidRDefault="00F45E45">
      <w:pPr>
        <w:tabs>
          <w:tab w:val="left" w:pos="756"/>
        </w:tabs>
        <w:ind w:left="0" w:hanging="2"/>
        <w:rPr>
          <w:rFonts w:ascii="Arial" w:eastAsia="Arial" w:hAnsi="Arial" w:cs="Arial"/>
          <w:b/>
          <w:bCs/>
          <w:sz w:val="24"/>
          <w:szCs w:val="24"/>
        </w:rPr>
      </w:pPr>
      <w:r w:rsidRPr="00F45E45">
        <w:rPr>
          <w:rFonts w:ascii="Arial" w:eastAsia="Arial" w:hAnsi="Arial" w:cs="Arial"/>
          <w:b/>
          <w:bCs/>
          <w:sz w:val="24"/>
          <w:szCs w:val="24"/>
        </w:rPr>
        <w:t>Supplier Pricing</w:t>
      </w:r>
    </w:p>
    <w:p w14:paraId="1F56CB66" w14:textId="76BA1038" w:rsidR="00F45E45" w:rsidRPr="00F45E45" w:rsidRDefault="000407C8">
      <w:pPr>
        <w:tabs>
          <w:tab w:val="left" w:pos="756"/>
        </w:tabs>
        <w:ind w:left="0" w:hanging="2"/>
        <w:rPr>
          <w:rFonts w:ascii="Arial" w:eastAsia="Arial" w:hAnsi="Arial" w:cs="Arial"/>
          <w:b/>
          <w:bCs/>
          <w:sz w:val="24"/>
          <w:szCs w:val="24"/>
        </w:rPr>
      </w:pPr>
      <w:r w:rsidRPr="000407C8">
        <w:rPr>
          <w:rFonts w:ascii="Arial" w:eastAsia="Arial" w:hAnsi="Arial" w:cs="Arial"/>
          <w:b/>
          <w:bCs/>
          <w:sz w:val="24"/>
          <w:szCs w:val="24"/>
        </w:rPr>
        <w:t>REDACTED TEXT under FOIA Section 43 Commercial Interests</w:t>
      </w:r>
    </w:p>
    <w:sectPr w:rsidR="00F45E45" w:rsidRPr="00F45E45">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D4E0" w14:textId="77777777" w:rsidR="00F96A86" w:rsidRDefault="00F96A86">
      <w:pPr>
        <w:spacing w:after="0" w:line="240" w:lineRule="auto"/>
        <w:ind w:left="0" w:hanging="2"/>
      </w:pPr>
      <w:r>
        <w:separator/>
      </w:r>
    </w:p>
  </w:endnote>
  <w:endnote w:type="continuationSeparator" w:id="0">
    <w:p w14:paraId="270C6A16" w14:textId="77777777" w:rsidR="00F96A86" w:rsidRDefault="00F96A8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5"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6" w14:textId="77777777" w:rsidR="006B1E0C" w:rsidRDefault="006B1E0C">
    <w:pPr>
      <w:tabs>
        <w:tab w:val="center" w:pos="4513"/>
        <w:tab w:val="right" w:pos="9026"/>
      </w:tabs>
      <w:spacing w:after="0" w:line="240" w:lineRule="auto"/>
      <w:ind w:left="0" w:hanging="2"/>
      <w:rPr>
        <w:rFonts w:ascii="Calibri" w:eastAsia="Calibri" w:hAnsi="Calibri" w:cs="Calibri"/>
      </w:rPr>
    </w:pPr>
  </w:p>
  <w:p w14:paraId="110367A7"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8"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10367A9"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E"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F"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10367B0"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110367B1"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774E7" w14:textId="77777777" w:rsidR="00F96A86" w:rsidRDefault="00F96A86">
      <w:pPr>
        <w:spacing w:after="0" w:line="240" w:lineRule="auto"/>
        <w:ind w:left="0" w:hanging="2"/>
      </w:pPr>
      <w:r>
        <w:separator/>
      </w:r>
    </w:p>
  </w:footnote>
  <w:footnote w:type="continuationSeparator" w:id="0">
    <w:p w14:paraId="039BB6E3" w14:textId="77777777" w:rsidR="00F96A86" w:rsidRDefault="00F96A8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0"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1" w14:textId="77777777" w:rsidR="006B1E0C" w:rsidRDefault="00040A9F">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110367A2"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14:paraId="110367A3"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10367A4"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A" w14:textId="77777777" w:rsidR="006B1E0C" w:rsidRDefault="00040A9F">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14:paraId="110367AB"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bookmarkStart w:id="13" w:name="_heading=h.1fob9te" w:colFirst="0" w:colLast="0"/>
    <w:bookmarkEnd w:id="13"/>
    <w:r>
      <w:rPr>
        <w:rFonts w:ascii="Arial" w:eastAsia="Arial" w:hAnsi="Arial" w:cs="Arial"/>
        <w:color w:val="000000"/>
        <w:sz w:val="20"/>
        <w:szCs w:val="20"/>
      </w:rPr>
      <w:t xml:space="preserve">Call-Off Ref: </w:t>
    </w:r>
  </w:p>
  <w:p w14:paraId="110367AC"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14:paraId="110367AD"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55B9"/>
    <w:multiLevelType w:val="multilevel"/>
    <w:tmpl w:val="BD0853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1391AF1"/>
    <w:multiLevelType w:val="multilevel"/>
    <w:tmpl w:val="8D3E260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E0C"/>
    <w:rsid w:val="000058FA"/>
    <w:rsid w:val="00010023"/>
    <w:rsid w:val="000407C8"/>
    <w:rsid w:val="00040A9F"/>
    <w:rsid w:val="001A0DE5"/>
    <w:rsid w:val="001B327C"/>
    <w:rsid w:val="002952A8"/>
    <w:rsid w:val="0030091D"/>
    <w:rsid w:val="00310851"/>
    <w:rsid w:val="00325DEA"/>
    <w:rsid w:val="003D3E96"/>
    <w:rsid w:val="003D5F83"/>
    <w:rsid w:val="004526F5"/>
    <w:rsid w:val="00565613"/>
    <w:rsid w:val="006B1E0C"/>
    <w:rsid w:val="0078351A"/>
    <w:rsid w:val="00864A8B"/>
    <w:rsid w:val="008B23E8"/>
    <w:rsid w:val="008B6E4D"/>
    <w:rsid w:val="008C5E73"/>
    <w:rsid w:val="009050AC"/>
    <w:rsid w:val="009540E8"/>
    <w:rsid w:val="009908D2"/>
    <w:rsid w:val="00A1636C"/>
    <w:rsid w:val="00A31B4A"/>
    <w:rsid w:val="00A64A66"/>
    <w:rsid w:val="00A87A7D"/>
    <w:rsid w:val="00B95F0F"/>
    <w:rsid w:val="00CC62D8"/>
    <w:rsid w:val="00CE74EB"/>
    <w:rsid w:val="00D77C52"/>
    <w:rsid w:val="00E5272E"/>
    <w:rsid w:val="00EE4691"/>
    <w:rsid w:val="00F45E45"/>
    <w:rsid w:val="00F541E4"/>
    <w:rsid w:val="00F96A86"/>
    <w:rsid w:val="00FA765E"/>
    <w:rsid w:val="00FB096D"/>
    <w:rsid w:val="00FC0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673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u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u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u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u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u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u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 w:type="numbering" w:customStyle="1" w:styleId="Style1">
    <w:name w:val="Style1"/>
    <w:uiPriority w:val="99"/>
    <w:rsid w:val="007D3008"/>
  </w:style>
  <w:style w:type="table" w:customStyle="1" w:styleId="a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8DWLSzd9F27Few73+0eTuaTarw==">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</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8BBBA-00FA-4240-A635-619B0660CED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D040C5A-E202-4220-8F8F-2EC82CF6DE5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4.xml><?xml version="1.0" encoding="utf-8"?>
<ds:datastoreItem xmlns:ds="http://schemas.openxmlformats.org/officeDocument/2006/customXml" ds:itemID="{C44E1C0E-BAD3-4DF4-96C9-1E2FC8826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Tracy Starr</cp:lastModifiedBy>
  <cp:revision>9</cp:revision>
  <dcterms:created xsi:type="dcterms:W3CDTF">2025-06-23T09:41:00Z</dcterms:created>
  <dcterms:modified xsi:type="dcterms:W3CDTF">2026-01-27T13:52:00Z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y fmtid="{D5CDD505-2E9C-101B-9397-08002B2CF9AE}" pid="12" name="MediaServiceImageTags">
    <vt:lpwstr/>
  </property>
  <property fmtid="{D5CDD505-2E9C-101B-9397-08002B2CF9AE}" pid="13" name="docLang">
    <vt:lpwstr>en</vt:lpwstr>
  </property>
</Properties>
</file>